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D0" w:rsidRDefault="00E92CA6">
      <w:pPr>
        <w:pStyle w:val="30"/>
        <w:framePr w:w="9374" w:h="690" w:hRule="exact" w:wrap="none" w:vAnchor="page" w:hAnchor="page" w:x="2190" w:y="1112"/>
        <w:shd w:val="clear" w:color="auto" w:fill="auto"/>
        <w:spacing w:after="43" w:line="280" w:lineRule="exact"/>
        <w:ind w:left="200"/>
      </w:pPr>
      <w:r>
        <w:rPr>
          <w:lang w:val="ru-RU" w:eastAsia="ru-RU" w:bidi="ru-RU"/>
        </w:rPr>
        <w:t>АКТ</w:t>
      </w:r>
    </w:p>
    <w:p w:rsidR="00097AD0" w:rsidRDefault="00E92CA6">
      <w:pPr>
        <w:pStyle w:val="30"/>
        <w:framePr w:w="9374" w:h="690" w:hRule="exact" w:wrap="none" w:vAnchor="page" w:hAnchor="page" w:x="2190" w:y="1112"/>
        <w:shd w:val="clear" w:color="auto" w:fill="auto"/>
        <w:spacing w:after="0" w:line="280" w:lineRule="exact"/>
        <w:ind w:right="340"/>
      </w:pPr>
      <w:r>
        <w:t>РЕВІЗІЙНОЇ КОМІСІЇ</w:t>
      </w:r>
    </w:p>
    <w:p w:rsidR="00097AD0" w:rsidRDefault="00E92CA6">
      <w:pPr>
        <w:pStyle w:val="30"/>
        <w:framePr w:w="9374" w:h="1367" w:hRule="exact" w:wrap="none" w:vAnchor="page" w:hAnchor="page" w:x="2190" w:y="2467"/>
        <w:shd w:val="clear" w:color="auto" w:fill="auto"/>
        <w:spacing w:after="0" w:line="328" w:lineRule="exact"/>
        <w:jc w:val="left"/>
      </w:pPr>
      <w:r>
        <w:t>про підсумки фінансово-господарської діяльності</w:t>
      </w:r>
      <w:r>
        <w:br/>
        <w:t>ПРИВАТНОГО АКЦІОНЕРНОГО ТОВАРИСТВА</w:t>
      </w:r>
      <w:r>
        <w:br/>
        <w:t>«КИЇВСЬКОГО АВТОТРАНСПОРТНОГО ПІДПРИЄМСТВА 13061»</w:t>
      </w:r>
      <w:r>
        <w:br/>
        <w:t>за 2017 рік</w:t>
      </w:r>
    </w:p>
    <w:p w:rsidR="00097AD0" w:rsidRDefault="00E92CA6">
      <w:pPr>
        <w:pStyle w:val="10"/>
        <w:framePr w:w="9374" w:h="1834" w:hRule="exact" w:wrap="none" w:vAnchor="page" w:hAnchor="page" w:x="2190" w:y="4488"/>
        <w:shd w:val="clear" w:color="auto" w:fill="auto"/>
        <w:tabs>
          <w:tab w:val="left" w:pos="6499"/>
        </w:tabs>
        <w:spacing w:before="0" w:after="250" w:line="280" w:lineRule="exact"/>
        <w:ind w:left="800"/>
      </w:pPr>
      <w:bookmarkStart w:id="0" w:name="bookmark0"/>
      <w:r>
        <w:t>м. Київ</w:t>
      </w:r>
      <w:r>
        <w:tab/>
        <w:t>16 березня 2018 року</w:t>
      </w:r>
      <w:bookmarkEnd w:id="0"/>
    </w:p>
    <w:p w:rsidR="00097AD0" w:rsidRDefault="00E92CA6">
      <w:pPr>
        <w:pStyle w:val="20"/>
        <w:framePr w:w="9374" w:h="1834" w:hRule="exact" w:wrap="none" w:vAnchor="page" w:hAnchor="page" w:x="2190" w:y="4488"/>
        <w:shd w:val="clear" w:color="auto" w:fill="auto"/>
        <w:spacing w:before="0"/>
      </w:pPr>
      <w:r>
        <w:t>Комісія в складі:</w:t>
      </w:r>
    </w:p>
    <w:p w:rsidR="00097AD0" w:rsidRDefault="00E92CA6">
      <w:pPr>
        <w:pStyle w:val="20"/>
        <w:framePr w:w="9374" w:h="1834" w:hRule="exact" w:wrap="none" w:vAnchor="page" w:hAnchor="page" w:x="2190" w:y="4488"/>
        <w:shd w:val="clear" w:color="auto" w:fill="auto"/>
        <w:spacing w:before="0"/>
      </w:pPr>
      <w:r>
        <w:t>Балаков Б.В.</w:t>
      </w:r>
    </w:p>
    <w:p w:rsidR="00097AD0" w:rsidRDefault="00E92CA6">
      <w:pPr>
        <w:pStyle w:val="20"/>
        <w:framePr w:w="9374" w:h="1834" w:hRule="exact" w:wrap="none" w:vAnchor="page" w:hAnchor="page" w:x="2190" w:y="4488"/>
        <w:shd w:val="clear" w:color="auto" w:fill="auto"/>
        <w:spacing w:before="0"/>
      </w:pPr>
      <w:r>
        <w:t>Древняк М.В.</w:t>
      </w:r>
    </w:p>
    <w:p w:rsidR="00097AD0" w:rsidRDefault="00E92CA6">
      <w:pPr>
        <w:pStyle w:val="20"/>
        <w:framePr w:w="9374" w:h="1834" w:hRule="exact" w:wrap="none" w:vAnchor="page" w:hAnchor="page" w:x="2190" w:y="4488"/>
        <w:shd w:val="clear" w:color="auto" w:fill="auto"/>
        <w:spacing w:before="0"/>
      </w:pPr>
      <w:r>
        <w:t>Носенко М.Ф.</w:t>
      </w:r>
    </w:p>
    <w:p w:rsidR="00097AD0" w:rsidRDefault="00E92CA6">
      <w:pPr>
        <w:pStyle w:val="10"/>
        <w:framePr w:w="9374" w:h="3278" w:hRule="exact" w:wrap="none" w:vAnchor="page" w:hAnchor="page" w:x="2190" w:y="6562"/>
        <w:shd w:val="clear" w:color="auto" w:fill="auto"/>
        <w:spacing w:before="0" w:after="318" w:line="317" w:lineRule="exact"/>
        <w:jc w:val="left"/>
      </w:pPr>
      <w:bookmarkStart w:id="1" w:name="bookmark1"/>
      <w:r>
        <w:t>Провела перевірку фінансово-господарської діяльності підприємства</w:t>
      </w:r>
      <w:r>
        <w:br/>
        <w:t>за 2017рік.</w:t>
      </w:r>
      <w:bookmarkEnd w:id="1"/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spacing w:before="0" w:after="316" w:line="220" w:lineRule="exact"/>
        <w:ind w:left="3580"/>
      </w:pPr>
      <w:r>
        <w:t>Загальний обсяг перевезень за 2017 рік :</w:t>
      </w:r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tabs>
          <w:tab w:val="left" w:pos="2329"/>
        </w:tabs>
        <w:spacing w:before="0" w:after="16" w:line="220" w:lineRule="exact"/>
        <w:jc w:val="both"/>
      </w:pPr>
      <w:r>
        <w:t>Перевезено -</w:t>
      </w:r>
      <w:r>
        <w:tab/>
        <w:t>32,3 тис.тонн</w:t>
      </w:r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tabs>
          <w:tab w:val="left" w:pos="2329"/>
        </w:tabs>
        <w:spacing w:before="0" w:after="266" w:line="220" w:lineRule="exact"/>
        <w:jc w:val="both"/>
      </w:pPr>
      <w:r>
        <w:t>Вантажообіг -</w:t>
      </w:r>
      <w:r>
        <w:tab/>
        <w:t>34207.0 тис. т/км. в т.ч.в міжнародному сполученні 14929.0тис.км.</w:t>
      </w:r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spacing w:before="0"/>
        <w:jc w:val="both"/>
      </w:pPr>
      <w:r>
        <w:t xml:space="preserve">Основні засоби на 01.01.2018р </w:t>
      </w:r>
      <w:r>
        <w:t>по балансу- Первісна вартість - 211775,0 тис.грн</w:t>
      </w:r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tabs>
          <w:tab w:val="left" w:pos="7276"/>
        </w:tabs>
        <w:spacing w:before="0"/>
        <w:ind w:left="5080"/>
        <w:jc w:val="both"/>
      </w:pPr>
      <w:r>
        <w:t>знос</w:t>
      </w:r>
      <w:r>
        <w:tab/>
        <w:t>-128838,0 тис.грн.</w:t>
      </w:r>
    </w:p>
    <w:p w:rsidR="00097AD0" w:rsidRDefault="00E92CA6">
      <w:pPr>
        <w:pStyle w:val="20"/>
        <w:framePr w:w="9374" w:h="3278" w:hRule="exact" w:wrap="none" w:vAnchor="page" w:hAnchor="page" w:x="2190" w:y="6562"/>
        <w:shd w:val="clear" w:color="auto" w:fill="auto"/>
        <w:spacing w:before="0"/>
        <w:ind w:left="5080"/>
        <w:jc w:val="both"/>
      </w:pPr>
      <w:r>
        <w:t>Залишкова вартість - 82937,0 тис.грн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  <w:ind w:right="4161"/>
        <w:jc w:val="both"/>
      </w:pPr>
      <w:r>
        <w:t>За 2017 рік підприємством одержано доходів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  <w:ind w:right="4161"/>
        <w:jc w:val="both"/>
      </w:pPr>
      <w:r>
        <w:t>в тому числі: від послуг.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  <w:ind w:left="1820" w:right="2100"/>
      </w:pPr>
      <w:r>
        <w:t>інші доходи</w:t>
      </w:r>
      <w:r>
        <w:br/>
        <w:t>Витрати за 2017 рік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</w:pPr>
      <w:r>
        <w:t>Операційні витрати за рік 104379.0 тис.грн.</w:t>
      </w:r>
      <w:r>
        <w:br/>
        <w:t>в</w:t>
      </w:r>
      <w:r>
        <w:t xml:space="preserve"> тому числі: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  <w:ind w:right="6717"/>
        <w:jc w:val="both"/>
      </w:pPr>
      <w:r>
        <w:t>1 .на оплату праці</w:t>
      </w:r>
    </w:p>
    <w:p w:rsidR="00097AD0" w:rsidRDefault="00E92CA6">
      <w:pPr>
        <w:pStyle w:val="20"/>
        <w:framePr w:w="9374" w:h="6031" w:hRule="exact" w:wrap="none" w:vAnchor="page" w:hAnchor="page" w:x="2190" w:y="10049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81" w:lineRule="exact"/>
        <w:ind w:right="6717"/>
        <w:jc w:val="both"/>
      </w:pPr>
      <w:r>
        <w:t>нарахування на з/пл</w:t>
      </w:r>
    </w:p>
    <w:p w:rsidR="00097AD0" w:rsidRDefault="00E92CA6">
      <w:pPr>
        <w:pStyle w:val="20"/>
        <w:framePr w:w="9374" w:h="6031" w:hRule="exact" w:wrap="none" w:vAnchor="page" w:hAnchor="page" w:x="2190" w:y="10049"/>
        <w:numPr>
          <w:ilvl w:val="0"/>
          <w:numId w:val="1"/>
        </w:numPr>
        <w:shd w:val="clear" w:color="auto" w:fill="auto"/>
        <w:tabs>
          <w:tab w:val="left" w:pos="355"/>
        </w:tabs>
        <w:spacing w:before="0" w:line="281" w:lineRule="exact"/>
        <w:ind w:right="6717"/>
        <w:jc w:val="both"/>
      </w:pPr>
      <w:r>
        <w:t>амортизація</w:t>
      </w:r>
    </w:p>
    <w:p w:rsidR="00097AD0" w:rsidRDefault="00E92CA6">
      <w:pPr>
        <w:pStyle w:val="20"/>
        <w:framePr w:w="9374" w:h="6031" w:hRule="exact" w:wrap="none" w:vAnchor="page" w:hAnchor="page" w:x="2190" w:y="10049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81" w:lineRule="exact"/>
      </w:pPr>
      <w:r>
        <w:t>матеріальні витрати</w:t>
      </w:r>
      <w:r>
        <w:br/>
      </w:r>
      <w:r>
        <w:rPr>
          <w:rStyle w:val="212pt"/>
        </w:rPr>
        <w:t>5</w:t>
      </w:r>
      <w:r>
        <w:rPr>
          <w:rStyle w:val="2Corbel"/>
          <w:b/>
          <w:bCs/>
        </w:rPr>
        <w:t>.</w:t>
      </w:r>
      <w:r>
        <w:t>інші витрати :</w:t>
      </w:r>
      <w:r>
        <w:br/>
        <w:t>із них.: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  <w:ind w:right="6717"/>
        <w:jc w:val="both"/>
      </w:pPr>
      <w:r>
        <w:t>відрядження, добові</w:t>
      </w:r>
      <w:r>
        <w:br/>
        <w:t>послуги банку</w:t>
      </w:r>
      <w:r>
        <w:br/>
        <w:t>послуги страхування</w:t>
      </w:r>
      <w:r>
        <w:br/>
        <w:t>оренда та зберігання</w:t>
      </w:r>
      <w:r>
        <w:br/>
        <w:t>транспортних засобів</w:t>
      </w:r>
      <w:r>
        <w:br/>
        <w:t>ремонти транспорту</w:t>
      </w:r>
      <w:r>
        <w:br/>
        <w:t>зв»язок</w:t>
      </w:r>
    </w:p>
    <w:p w:rsidR="00097AD0" w:rsidRDefault="00E92CA6">
      <w:pPr>
        <w:pStyle w:val="20"/>
        <w:framePr w:w="9374" w:h="6031" w:hRule="exact" w:wrap="none" w:vAnchor="page" w:hAnchor="page" w:x="2190" w:y="10049"/>
        <w:shd w:val="clear" w:color="auto" w:fill="auto"/>
        <w:spacing w:before="0" w:line="281" w:lineRule="exact"/>
      </w:pPr>
      <w:r>
        <w:t>водопостачання</w:t>
      </w:r>
      <w:r>
        <w:br/>
      </w:r>
      <w:r>
        <w:t>електропостачання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1138"/>
      </w:tblGrid>
      <w:tr w:rsidR="00097AD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7630.0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1523,0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2218.0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55635.0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37373.0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097AD0" w:rsidRDefault="00097AD0">
            <w:pPr>
              <w:framePr w:w="2171" w:h="4252" w:wrap="none" w:vAnchor="page" w:hAnchor="page" w:x="5207" w:y="1184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097AD0" w:rsidRDefault="00097AD0">
            <w:pPr>
              <w:framePr w:w="2171" w:h="4252" w:wrap="none" w:vAnchor="page" w:hAnchor="page" w:x="5207" w:y="11848"/>
              <w:rPr>
                <w:sz w:val="10"/>
                <w:szCs w:val="10"/>
              </w:rPr>
            </w:pP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7595,7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308,3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2674,7</w:t>
            </w:r>
          </w:p>
        </w:tc>
        <w:tc>
          <w:tcPr>
            <w:tcW w:w="1138" w:type="dxa"/>
            <w:shd w:val="clear" w:color="auto" w:fill="FFFFFF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3135,1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3425,8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490,4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33,8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3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40" w:lineRule="exact"/>
              <w:ind w:right="260"/>
              <w:jc w:val="right"/>
            </w:pPr>
            <w:r>
              <w:rPr>
                <w:rStyle w:val="212pt0"/>
              </w:rPr>
              <w:t>907,9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2171" w:h="4252" w:wrap="none" w:vAnchor="page" w:hAnchor="page" w:x="5207" w:y="11848"/>
              <w:shd w:val="clear" w:color="auto" w:fill="auto"/>
              <w:spacing w:before="0" w:line="220" w:lineRule="exact"/>
              <w:ind w:left="200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</w:tbl>
    <w:p w:rsidR="00097AD0" w:rsidRDefault="00E92CA6">
      <w:pPr>
        <w:pStyle w:val="20"/>
        <w:framePr w:w="2408" w:h="936" w:hRule="exact" w:wrap="none" w:vAnchor="page" w:hAnchor="page" w:x="8112" w:y="10063"/>
        <w:numPr>
          <w:ilvl w:val="0"/>
          <w:numId w:val="2"/>
        </w:numPr>
        <w:shd w:val="clear" w:color="auto" w:fill="auto"/>
        <w:tabs>
          <w:tab w:val="left" w:pos="1548"/>
        </w:tabs>
        <w:spacing w:before="0" w:line="292" w:lineRule="exact"/>
        <w:jc w:val="both"/>
      </w:pPr>
      <w:r>
        <w:t>тис.грн.</w:t>
      </w:r>
    </w:p>
    <w:p w:rsidR="00097AD0" w:rsidRDefault="00E92CA6">
      <w:pPr>
        <w:pStyle w:val="20"/>
        <w:framePr w:w="2408" w:h="936" w:hRule="exact" w:wrap="none" w:vAnchor="page" w:hAnchor="page" w:x="8112" w:y="10063"/>
        <w:numPr>
          <w:ilvl w:val="0"/>
          <w:numId w:val="3"/>
        </w:numPr>
        <w:shd w:val="clear" w:color="auto" w:fill="auto"/>
        <w:tabs>
          <w:tab w:val="left" w:pos="1548"/>
        </w:tabs>
        <w:spacing w:before="0" w:line="292" w:lineRule="exact"/>
        <w:jc w:val="both"/>
      </w:pPr>
      <w:r>
        <w:t>тис.грн.</w:t>
      </w:r>
    </w:p>
    <w:p w:rsidR="00097AD0" w:rsidRDefault="00E92CA6">
      <w:pPr>
        <w:pStyle w:val="20"/>
        <w:framePr w:w="2408" w:h="936" w:hRule="exact" w:wrap="none" w:vAnchor="page" w:hAnchor="page" w:x="8112" w:y="10063"/>
        <w:shd w:val="clear" w:color="auto" w:fill="auto"/>
        <w:tabs>
          <w:tab w:val="right" w:pos="2370"/>
        </w:tabs>
        <w:spacing w:before="0" w:line="292" w:lineRule="exact"/>
        <w:ind w:left="260"/>
        <w:jc w:val="both"/>
      </w:pPr>
      <w:r>
        <w:t>7141.0</w:t>
      </w:r>
      <w:r>
        <w:tab/>
        <w:t>тис.грн.</w:t>
      </w:r>
    </w:p>
    <w:p w:rsidR="00097AD0" w:rsidRDefault="00097AD0">
      <w:pPr>
        <w:rPr>
          <w:sz w:val="2"/>
          <w:szCs w:val="2"/>
        </w:rPr>
        <w:sectPr w:rsidR="00097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AD0" w:rsidRDefault="00E92CA6">
      <w:pPr>
        <w:pStyle w:val="20"/>
        <w:framePr w:w="2725" w:h="936" w:hRule="exact" w:wrap="none" w:vAnchor="page" w:hAnchor="page" w:x="2140" w:y="1081"/>
        <w:shd w:val="clear" w:color="auto" w:fill="auto"/>
        <w:spacing w:before="0" w:line="292" w:lineRule="exact"/>
      </w:pPr>
      <w:r>
        <w:lastRenderedPageBreak/>
        <w:t>курсові різниці</w:t>
      </w:r>
      <w:r>
        <w:br/>
        <w:t>В структурі матеріальних</w:t>
      </w:r>
      <w:r>
        <w:br/>
        <w:t>витрат:</w:t>
      </w:r>
    </w:p>
    <w:p w:rsidR="00097AD0" w:rsidRDefault="00E92CA6">
      <w:pPr>
        <w:pStyle w:val="20"/>
        <w:framePr w:w="2570" w:h="1220" w:hRule="exact" w:wrap="none" w:vAnchor="page" w:hAnchor="page" w:x="4948" w:y="1077"/>
        <w:shd w:val="clear" w:color="auto" w:fill="auto"/>
        <w:spacing w:before="0"/>
        <w:ind w:firstLine="280"/>
      </w:pPr>
      <w:r>
        <w:t>2225,5 тис.грн.</w:t>
      </w:r>
      <w:r>
        <w:br/>
        <w:t>паливо- 27258,9</w:t>
      </w:r>
      <w:r>
        <w:br/>
        <w:t>зап.частини 8981,1</w:t>
      </w:r>
      <w:r>
        <w:br/>
        <w:t xml:space="preserve">малоцінні </w:t>
      </w:r>
      <w:r>
        <w:rPr>
          <w:lang w:val="ru-RU" w:eastAsia="ru-RU" w:bidi="ru-RU"/>
        </w:rPr>
        <w:t xml:space="preserve">матер. </w:t>
      </w:r>
      <w:r>
        <w:t>933,9</w:t>
      </w:r>
    </w:p>
    <w:p w:rsidR="00097AD0" w:rsidRDefault="00E92CA6">
      <w:pPr>
        <w:pStyle w:val="a5"/>
        <w:framePr w:w="864" w:h="933" w:hRule="exact" w:wrap="none" w:vAnchor="page" w:hAnchor="page" w:x="8066" w:y="1379"/>
        <w:shd w:val="clear" w:color="auto" w:fill="auto"/>
      </w:pPr>
      <w:r>
        <w:t>тис.грн.</w:t>
      </w:r>
    </w:p>
    <w:p w:rsidR="00097AD0" w:rsidRDefault="00E92CA6">
      <w:pPr>
        <w:pStyle w:val="a5"/>
        <w:framePr w:w="864" w:h="933" w:hRule="exact" w:wrap="none" w:vAnchor="page" w:hAnchor="page" w:x="8066" w:y="1379"/>
        <w:shd w:val="clear" w:color="auto" w:fill="auto"/>
      </w:pPr>
      <w:r>
        <w:t>тис.грн</w:t>
      </w:r>
    </w:p>
    <w:p w:rsidR="00097AD0" w:rsidRDefault="00E92CA6">
      <w:pPr>
        <w:pStyle w:val="a5"/>
        <w:framePr w:w="864" w:h="933" w:hRule="exact" w:wrap="none" w:vAnchor="page" w:hAnchor="page" w:x="8066" w:y="1379"/>
        <w:shd w:val="clear" w:color="auto" w:fill="auto"/>
      </w:pPr>
      <w:r>
        <w:t>тис.грн</w:t>
      </w:r>
    </w:p>
    <w:p w:rsidR="00097AD0" w:rsidRDefault="00E92CA6">
      <w:pPr>
        <w:pStyle w:val="20"/>
        <w:framePr w:w="9518" w:h="1217" w:hRule="exact" w:wrap="none" w:vAnchor="page" w:hAnchor="page" w:x="2118" w:y="2539"/>
        <w:shd w:val="clear" w:color="auto" w:fill="auto"/>
        <w:tabs>
          <w:tab w:val="left" w:pos="4680"/>
        </w:tabs>
        <w:spacing w:before="0"/>
        <w:jc w:val="both"/>
      </w:pPr>
      <w:r>
        <w:t>2017 рік Прибуток</w:t>
      </w:r>
      <w:r>
        <w:tab/>
        <w:t>9414,0 тис.грн</w:t>
      </w:r>
    </w:p>
    <w:p w:rsidR="00097AD0" w:rsidRDefault="00E92CA6">
      <w:pPr>
        <w:pStyle w:val="20"/>
        <w:framePr w:w="9518" w:h="1217" w:hRule="exact" w:wrap="none" w:vAnchor="page" w:hAnchor="page" w:x="2118" w:y="2539"/>
        <w:shd w:val="clear" w:color="auto" w:fill="auto"/>
        <w:spacing w:before="0"/>
        <w:jc w:val="both"/>
      </w:pPr>
      <w:r>
        <w:t>.По балансу</w:t>
      </w:r>
    </w:p>
    <w:p w:rsidR="00097AD0" w:rsidRDefault="00E92CA6">
      <w:pPr>
        <w:pStyle w:val="20"/>
        <w:framePr w:w="9518" w:h="1217" w:hRule="exact" w:wrap="none" w:vAnchor="page" w:hAnchor="page" w:x="2118" w:y="2539"/>
        <w:shd w:val="clear" w:color="auto" w:fill="auto"/>
        <w:tabs>
          <w:tab w:val="left" w:pos="4680"/>
        </w:tabs>
        <w:spacing w:before="0"/>
        <w:jc w:val="both"/>
      </w:pPr>
      <w:r>
        <w:t>Непокритий збиток на початок року</w:t>
      </w:r>
      <w:r>
        <w:tab/>
        <w:t>(-11631 ) тис.грн</w:t>
      </w:r>
    </w:p>
    <w:p w:rsidR="00097AD0" w:rsidRDefault="00E92CA6">
      <w:pPr>
        <w:pStyle w:val="20"/>
        <w:framePr w:w="9518" w:h="1217" w:hRule="exact" w:wrap="none" w:vAnchor="page" w:hAnchor="page" w:x="2118" w:y="2539"/>
        <w:shd w:val="clear" w:color="auto" w:fill="auto"/>
        <w:tabs>
          <w:tab w:val="left" w:pos="4680"/>
        </w:tabs>
        <w:spacing w:before="0"/>
        <w:jc w:val="both"/>
      </w:pPr>
      <w:r>
        <w:t>Непокритий збиток на кінець року</w:t>
      </w:r>
      <w:r>
        <w:tab/>
        <w:t xml:space="preserve">(-2217) </w:t>
      </w:r>
      <w:r>
        <w:t>тис.грн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1163"/>
        <w:gridCol w:w="1242"/>
      </w:tblGrid>
      <w:tr w:rsidR="00097AD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Гротові кошти по балансу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2798,0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after="120" w:line="220" w:lineRule="exact"/>
            </w:pPr>
            <w:r>
              <w:rPr>
                <w:rStyle w:val="21"/>
                <w:b/>
                <w:bCs/>
              </w:rPr>
              <w:t>Дебіторська заборгованість :</w:t>
            </w:r>
          </w:p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120" w:line="220" w:lineRule="exact"/>
            </w:pPr>
            <w:r>
              <w:rPr>
                <w:rStyle w:val="21"/>
                <w:b/>
                <w:bCs/>
              </w:rPr>
              <w:t>за товари, послуги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155793 ,0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по розрахунках з бюджетом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306,0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інша поточна заборгованість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64303,0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Кредиторська заборгованність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16283,0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Довгострокові кредити банків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41624,0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Інші довгострокові зобов»язання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104734,0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тис.грн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after="60" w:line="220" w:lineRule="exact"/>
            </w:pPr>
            <w:r>
              <w:rPr>
                <w:rStyle w:val="21"/>
                <w:b/>
                <w:bCs/>
              </w:rPr>
              <w:t>Платежі до бюджету :</w:t>
            </w:r>
          </w:p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60" w:line="220" w:lineRule="exact"/>
            </w:pPr>
            <w:r>
              <w:rPr>
                <w:rStyle w:val="21"/>
                <w:b/>
                <w:bCs/>
              </w:rPr>
              <w:t>В т.ч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388,1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  <w:lang w:val="ru-RU" w:eastAsia="ru-RU" w:bidi="ru-RU"/>
              </w:rPr>
              <w:t xml:space="preserve">Налог </w:t>
            </w:r>
            <w:r>
              <w:rPr>
                <w:rStyle w:val="21"/>
                <w:b/>
                <w:bCs/>
              </w:rPr>
              <w:t>на землю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260"/>
              <w:jc w:val="right"/>
            </w:pPr>
            <w:r>
              <w:rPr>
                <w:rStyle w:val="21"/>
                <w:b/>
                <w:bCs/>
              </w:rPr>
              <w:t>/ 376,7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431" w:type="dxa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81" w:lineRule="exact"/>
            </w:pPr>
            <w:r>
              <w:rPr>
                <w:rStyle w:val="21"/>
                <w:b/>
                <w:bCs/>
              </w:rPr>
              <w:t>За водопостачання</w:t>
            </w:r>
            <w:r>
              <w:rPr>
                <w:rStyle w:val="21"/>
                <w:b/>
                <w:bCs/>
              </w:rPr>
              <w:br/>
              <w:t>За забруднення навколиш-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left="560"/>
            </w:pPr>
            <w:r>
              <w:rPr>
                <w:rStyle w:val="21"/>
                <w:b/>
                <w:bCs/>
              </w:rPr>
              <w:t>4,2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нього середовища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left="560"/>
            </w:pPr>
            <w:r>
              <w:rPr>
                <w:rStyle w:val="21"/>
                <w:b/>
                <w:bCs/>
              </w:rPr>
              <w:t>07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податок на нерухомість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400" w:lineRule="exact"/>
              <w:ind w:left="560"/>
            </w:pPr>
            <w:r>
              <w:rPr>
                <w:rStyle w:val="21"/>
                <w:b/>
                <w:bCs/>
              </w:rPr>
              <w:t xml:space="preserve">6,5 </w:t>
            </w:r>
            <w:r>
              <w:rPr>
                <w:rStyle w:val="220pt"/>
                <w:b/>
                <w:bCs/>
              </w:rPr>
              <w:t>)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тис.грн.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5836" w:type="dxa"/>
            <w:gridSpan w:val="3"/>
            <w:shd w:val="clear" w:color="auto" w:fill="FFFFFF"/>
            <w:vAlign w:val="bottom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Сініскова чисельність на кінець року 188 чол.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620"/>
              <w:jc w:val="right"/>
            </w:pPr>
            <w:r>
              <w:rPr>
                <w:rStyle w:val="21"/>
                <w:b/>
                <w:bCs/>
              </w:rPr>
              <w:t>водії</w:t>
            </w:r>
          </w:p>
        </w:tc>
        <w:tc>
          <w:tcPr>
            <w:tcW w:w="2405" w:type="dxa"/>
            <w:gridSpan w:val="2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left="940"/>
            </w:pPr>
            <w:r>
              <w:rPr>
                <w:rStyle w:val="21"/>
                <w:b/>
                <w:bCs/>
              </w:rPr>
              <w:t>117 чол.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620"/>
              <w:jc w:val="right"/>
            </w:pPr>
            <w:r>
              <w:rPr>
                <w:rStyle w:val="21"/>
                <w:b/>
                <w:bCs/>
              </w:rPr>
              <w:t>рем.робітники</w:t>
            </w:r>
          </w:p>
        </w:tc>
        <w:tc>
          <w:tcPr>
            <w:tcW w:w="2405" w:type="dxa"/>
            <w:gridSpan w:val="2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340"/>
              <w:jc w:val="right"/>
            </w:pPr>
            <w:r>
              <w:rPr>
                <w:rStyle w:val="21"/>
                <w:b/>
                <w:bCs/>
              </w:rPr>
              <w:t>19 чол.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left="380"/>
            </w:pPr>
            <w:r>
              <w:rPr>
                <w:rStyle w:val="21"/>
                <w:b/>
                <w:bCs/>
              </w:rPr>
              <w:t>допоміжні працівники</w:t>
            </w:r>
          </w:p>
        </w:tc>
        <w:tc>
          <w:tcPr>
            <w:tcW w:w="1163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righ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1242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jc w:val="center"/>
            </w:pPr>
            <w:r>
              <w:rPr>
                <w:rStyle w:val="21"/>
                <w:b/>
                <w:bCs/>
              </w:rPr>
              <w:t>чол.</w:t>
            </w:r>
          </w:p>
        </w:tc>
      </w:tr>
      <w:tr w:rsidR="00097A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31" w:type="dxa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</w:pPr>
            <w:r>
              <w:rPr>
                <w:rStyle w:val="21"/>
                <w:b/>
                <w:bCs/>
              </w:rPr>
              <w:t>спеціалісти та службовці</w:t>
            </w:r>
          </w:p>
        </w:tc>
        <w:tc>
          <w:tcPr>
            <w:tcW w:w="2405" w:type="dxa"/>
            <w:gridSpan w:val="2"/>
            <w:shd w:val="clear" w:color="auto" w:fill="FFFFFF"/>
          </w:tcPr>
          <w:p w:rsidR="00097AD0" w:rsidRDefault="00E92CA6">
            <w:pPr>
              <w:pStyle w:val="20"/>
              <w:framePr w:w="5836" w:h="6595" w:wrap="none" w:vAnchor="page" w:hAnchor="page" w:x="2126" w:y="4032"/>
              <w:shd w:val="clear" w:color="auto" w:fill="auto"/>
              <w:spacing w:before="0" w:line="220" w:lineRule="exact"/>
              <w:ind w:right="340"/>
              <w:jc w:val="right"/>
            </w:pPr>
            <w:r>
              <w:rPr>
                <w:rStyle w:val="21"/>
                <w:b/>
                <w:bCs/>
              </w:rPr>
              <w:t>37 чол.</w:t>
            </w:r>
          </w:p>
        </w:tc>
      </w:tr>
    </w:tbl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tabs>
          <w:tab w:val="left" w:pos="3204"/>
        </w:tabs>
        <w:spacing w:before="0" w:after="16" w:line="220" w:lineRule="exact"/>
        <w:jc w:val="both"/>
      </w:pPr>
      <w:r>
        <w:t>Фонд оплати праці</w:t>
      </w:r>
      <w:r>
        <w:tab/>
        <w:t>7553,3 тис.грн..</w:t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spacing w:before="0" w:after="207" w:line="220" w:lineRule="exact"/>
        <w:jc w:val="both"/>
      </w:pPr>
      <w:r>
        <w:t xml:space="preserve">Середня заробітна за </w:t>
      </w:r>
      <w:r>
        <w:t>рік 40177,0 грн.</w:t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spacing w:before="0" w:line="281" w:lineRule="exact"/>
      </w:pPr>
      <w:r>
        <w:t>На момент складання акту підприємство не має заборгованність з виплати заробітної плати</w:t>
      </w:r>
      <w:r>
        <w:br/>
        <w:t>Оперативний, бухгалтерський та статистичний облік і звітність ведеться згідно чинного</w:t>
      </w:r>
      <w:r>
        <w:br/>
        <w:t>Законодавства . Підприємство веде бухгалтерський облік згідно бух</w:t>
      </w:r>
      <w:r>
        <w:t>галтерських</w:t>
      </w:r>
      <w:r>
        <w:br/>
        <w:t>стандартів. Фінансові показники за 2017 рік підтверджені аудиторською перевіркою.</w:t>
      </w:r>
      <w:r>
        <w:br/>
        <w:t>Фінансовий звіт, річний баланс, статистичні звіти подані в контролюючі та статистичні</w:t>
      </w:r>
      <w:r>
        <w:br/>
        <w:t>органи своєчасно.</w:t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spacing w:before="0" w:after="349" w:line="281" w:lineRule="exact"/>
        <w:jc w:val="both"/>
      </w:pPr>
      <w:r>
        <w:t>Заборгованності перед бюджетом підприємство не має.</w:t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spacing w:before="0" w:after="198" w:line="220" w:lineRule="exact"/>
        <w:jc w:val="both"/>
      </w:pPr>
      <w:r>
        <w:t>Ревізійна комісія :</w:t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tabs>
          <w:tab w:val="left" w:leader="underscore" w:pos="4142"/>
        </w:tabs>
        <w:spacing w:before="0" w:line="284" w:lineRule="exact"/>
        <w:jc w:val="both"/>
      </w:pPr>
      <w:r>
        <w:t xml:space="preserve">Древняк М.В. </w:t>
      </w:r>
      <w:r>
        <w:tab/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tabs>
          <w:tab w:val="left" w:leader="underscore" w:pos="4142"/>
        </w:tabs>
        <w:spacing w:before="0" w:line="284" w:lineRule="exact"/>
        <w:jc w:val="both"/>
      </w:pPr>
      <w:r>
        <w:rPr>
          <w:lang w:val="ru-RU" w:eastAsia="ru-RU" w:bidi="ru-RU"/>
        </w:rPr>
        <w:t xml:space="preserve">Балаков </w:t>
      </w:r>
      <w:r>
        <w:t xml:space="preserve">Б.В.. </w:t>
      </w:r>
      <w:r>
        <w:tab/>
      </w:r>
    </w:p>
    <w:p w:rsidR="00097AD0" w:rsidRDefault="00E92CA6">
      <w:pPr>
        <w:pStyle w:val="20"/>
        <w:framePr w:w="9518" w:h="4543" w:hRule="exact" w:wrap="none" w:vAnchor="page" w:hAnchor="page" w:x="2118" w:y="10915"/>
        <w:shd w:val="clear" w:color="auto" w:fill="auto"/>
        <w:spacing w:before="0" w:line="284" w:lineRule="exact"/>
        <w:jc w:val="both"/>
      </w:pPr>
      <w:r>
        <w:rPr>
          <w:lang w:val="ru-RU" w:eastAsia="ru-RU" w:bidi="ru-RU"/>
        </w:rPr>
        <w:t xml:space="preserve">Носенко </w:t>
      </w:r>
      <w:r>
        <w:t>М.Ф.</w:t>
      </w:r>
    </w:p>
    <w:p w:rsidR="00097AD0" w:rsidRDefault="00097AD0">
      <w:pPr>
        <w:rPr>
          <w:sz w:val="2"/>
          <w:szCs w:val="2"/>
        </w:rPr>
      </w:pPr>
      <w:bookmarkStart w:id="2" w:name="_GoBack"/>
      <w:bookmarkEnd w:id="2"/>
    </w:p>
    <w:sectPr w:rsidR="00097A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A6" w:rsidRDefault="00E92CA6">
      <w:r>
        <w:separator/>
      </w:r>
    </w:p>
  </w:endnote>
  <w:endnote w:type="continuationSeparator" w:id="0">
    <w:p w:rsidR="00E92CA6" w:rsidRDefault="00E9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A6" w:rsidRDefault="00E92CA6"/>
  </w:footnote>
  <w:footnote w:type="continuationSeparator" w:id="0">
    <w:p w:rsidR="00E92CA6" w:rsidRDefault="00E92C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016B"/>
    <w:multiLevelType w:val="multilevel"/>
    <w:tmpl w:val="035C1ABE"/>
    <w:lvl w:ilvl="0">
      <w:numFmt w:val="decimal"/>
      <w:lvlText w:val="17559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5048C"/>
    <w:multiLevelType w:val="multilevel"/>
    <w:tmpl w:val="50A41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000A9"/>
    <w:multiLevelType w:val="multilevel"/>
    <w:tmpl w:val="E910B9B0"/>
    <w:lvl w:ilvl="0">
      <w:numFmt w:val="decimal"/>
      <w:lvlText w:val="18273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D0"/>
    <w:rsid w:val="00097AD0"/>
    <w:rsid w:val="00806850"/>
    <w:rsid w:val="00E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E69F3-58D2-4170-8F2C-6BC0897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orbel">
    <w:name w:val="Основной текст (2) + Corbel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0pt">
    <w:name w:val="Основной текст (2) + 20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8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Лукашевич</cp:lastModifiedBy>
  <cp:revision>1</cp:revision>
  <dcterms:created xsi:type="dcterms:W3CDTF">2018-04-11T06:55:00Z</dcterms:created>
  <dcterms:modified xsi:type="dcterms:W3CDTF">2018-04-11T06:57:00Z</dcterms:modified>
</cp:coreProperties>
</file>